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F98" w:rsidRDefault="00062B3E" w:rsidP="00082F98">
      <w:pPr>
        <w:rPr>
          <w:rFonts w:ascii="Times New Roman" w:eastAsia="Times New Roman" w:hAnsi="Times New Roman" w:cs="Times New Roman"/>
          <w:b/>
          <w:bCs/>
          <w:kern w:val="36"/>
          <w:sz w:val="28"/>
          <w:szCs w:val="28"/>
          <w:lang w:eastAsia="ru-RU"/>
        </w:rPr>
      </w:pPr>
      <w:r w:rsidRPr="00062B3E">
        <w:rPr>
          <w:noProof/>
          <w:lang w:eastAsia="ru-RU"/>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82F98" w:rsidRDefault="00082F98" w:rsidP="00082F9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82F98" w:rsidRDefault="00082F98" w:rsidP="00082F9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82F98" w:rsidRDefault="00082F98" w:rsidP="00082F9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082F98">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06518D" w:rsidRDefault="00D105C4" w:rsidP="0006518D">
      <w:pPr>
        <w:spacing w:line="240" w:lineRule="auto"/>
        <w:jc w:val="center"/>
        <w:rPr>
          <w:rFonts w:ascii="Times New Roman" w:hAnsi="Times New Roman" w:cs="Times New Roman"/>
          <w:b/>
          <w:color w:val="000000"/>
          <w:sz w:val="26"/>
          <w:szCs w:val="26"/>
          <w:shd w:val="clear" w:color="auto" w:fill="FFFFFF"/>
          <w:lang w:val="uk-UA"/>
        </w:rPr>
      </w:pPr>
      <w:r w:rsidRPr="0006518D">
        <w:rPr>
          <w:rFonts w:ascii="Times New Roman" w:hAnsi="Times New Roman" w:cs="Times New Roman"/>
          <w:b/>
          <w:color w:val="000000"/>
          <w:sz w:val="26"/>
          <w:szCs w:val="26"/>
          <w:shd w:val="clear" w:color="auto" w:fill="FFFFFF"/>
          <w:lang w:val="uk-UA"/>
        </w:rPr>
        <w:t>Чи є підставою для анулювання реєстрації платника ЄП першої або другої групи наявність податкового боргу з податків та зборів, який виник у період дії воєнного стану в Україні?</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Відповідно до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3 п. 299.10 ст. 299 Податкового кодексу України від 02 грудня 2010 року № 2755-VI зі змінами та доповненнями (далі – ПКУ) реєстрація платником єдиного податку є безстроковою та може бути анульована шляхом виключення з реєстру платників єдиного податку за рішенням контролюючого органу, зокрема, у випадках, визначених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298</w:t>
      </w:r>
      <w:r w:rsidRPr="00082F98">
        <w:rPr>
          <w:rFonts w:ascii="Times New Roman" w:eastAsia="Times New Roman" w:hAnsi="Times New Roman" w:cs="Times New Roman"/>
          <w:color w:val="000000"/>
          <w:sz w:val="26"/>
          <w:szCs w:val="26"/>
          <w:lang w:val="uk-UA" w:eastAsia="ru-RU"/>
        </w:rPr>
        <w:t>.2.3 п. 298.2 ст. 298 ПКУ.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Підпунктом 8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298.2.3 п. 298.2 ст. 298 ПКУ визначено, що платники єдиного податку зобов’язані перейти на сплату інших податків і зборів, визначених ПКУ, у разі наявності податкового боргу у розмірі, що перевищує суму, визначену абзацом третім п. 59.1 ст. 59 ПКУ, на кожне перше число місяця протягом двох послідовних кварталів – в останній день другого із д</w:t>
      </w:r>
      <w:r w:rsidRPr="00082F98">
        <w:rPr>
          <w:rFonts w:ascii="Times New Roman" w:eastAsia="Times New Roman" w:hAnsi="Times New Roman" w:cs="Times New Roman"/>
          <w:color w:val="000000"/>
          <w:sz w:val="26"/>
          <w:szCs w:val="26"/>
          <w:lang w:val="uk-UA" w:eastAsia="ru-RU"/>
        </w:rPr>
        <w:t>вох послідовних кварталів.</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Податковий борг – сума </w:t>
      </w:r>
      <w:bookmarkStart w:id="1" w:name="_GoBack"/>
      <w:bookmarkEnd w:id="1"/>
      <w:r w:rsidRPr="00D105C4">
        <w:rPr>
          <w:rFonts w:ascii="Times New Roman" w:eastAsia="Times New Roman" w:hAnsi="Times New Roman" w:cs="Times New Roman"/>
          <w:color w:val="000000"/>
          <w:sz w:val="26"/>
          <w:szCs w:val="26"/>
          <w:lang w:val="uk-UA" w:eastAsia="ru-RU"/>
        </w:rPr>
        <w:t>узгодженого грошового зобов’язання, не сплаченого платником податків у встановлений ПКУ строк, та непогашеної пені, нарахованої у порядку, визначеному ПКУ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14.</w:t>
      </w:r>
      <w:r w:rsidRPr="00082F98">
        <w:rPr>
          <w:rFonts w:ascii="Times New Roman" w:eastAsia="Times New Roman" w:hAnsi="Times New Roman" w:cs="Times New Roman"/>
          <w:color w:val="000000"/>
          <w:sz w:val="26"/>
          <w:szCs w:val="26"/>
          <w:lang w:val="uk-UA" w:eastAsia="ru-RU"/>
        </w:rPr>
        <w:t>1.175 п. 14.1 ст. 14 ПКУ).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Тимчасово, з 01 квітня 2022 року до припинення або скасування воєнного, надзвичайного стану на території України, положення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XIV ПКУ застосовуються з урахуванням особливостей, визначених п. 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8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ХХ </w:t>
      </w:r>
      <w:r w:rsidRPr="00082F98">
        <w:rPr>
          <w:rFonts w:ascii="Times New Roman" w:eastAsia="Times New Roman" w:hAnsi="Times New Roman" w:cs="Times New Roman"/>
          <w:color w:val="000000"/>
          <w:sz w:val="26"/>
          <w:szCs w:val="26"/>
          <w:lang w:val="uk-UA" w:eastAsia="ru-RU"/>
        </w:rPr>
        <w:t>«Перехідні положення» ПКУ.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Зокрема, абзацом першим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9.1 п. 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8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ХХ «Перехідні положення» ПКУ визначено, що фізичні особи – підприємці – платники єдиного податку першої та другої групи мають право не </w:t>
      </w:r>
      <w:r w:rsidRPr="00082F98">
        <w:rPr>
          <w:rFonts w:ascii="Times New Roman" w:eastAsia="Times New Roman" w:hAnsi="Times New Roman" w:cs="Times New Roman"/>
          <w:color w:val="000000"/>
          <w:sz w:val="26"/>
          <w:szCs w:val="26"/>
          <w:lang w:val="uk-UA" w:eastAsia="ru-RU"/>
        </w:rPr>
        <w:t>сплачувати єдиний податок.</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Поряд з цим, відповідно до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ХХ «Перехідні положення» ПКУ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справляння податків і зборів здійснюється з урахуванням особливостей, визначених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ХХ «Пере</w:t>
      </w:r>
      <w:r w:rsidRPr="00082F98">
        <w:rPr>
          <w:rFonts w:ascii="Times New Roman" w:eastAsia="Times New Roman" w:hAnsi="Times New Roman" w:cs="Times New Roman"/>
          <w:color w:val="000000"/>
          <w:sz w:val="26"/>
          <w:szCs w:val="26"/>
          <w:lang w:val="uk-UA" w:eastAsia="ru-RU"/>
        </w:rPr>
        <w:t>хідні положення» ПКУ.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Згідно з абзацом першим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XX «Перехідні положення» ПКУ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та/або документів (повідомлень), у тому числі передбачених ст.ст. 39 і 39 прим. 2,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w:t>
      </w:r>
      <w:r w:rsidRPr="00082F98">
        <w:rPr>
          <w:rFonts w:ascii="Times New Roman" w:eastAsia="Times New Roman" w:hAnsi="Times New Roman" w:cs="Times New Roman"/>
          <w:color w:val="000000"/>
          <w:sz w:val="26"/>
          <w:szCs w:val="26"/>
          <w:lang w:val="uk-UA" w:eastAsia="ru-RU"/>
        </w:rPr>
        <w:t xml:space="preserve"> воєнного стану в Україні.</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lastRenderedPageBreak/>
        <w:t xml:space="preserve">Відповідно до абзаців третього – дванадцятого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XX «Перехідні положення» ПКУ платники податків, які мають можливість своєчасно виконувати обов’язки, звільняються від відповідальності за несвоєчасне викона</w:t>
      </w:r>
      <w:r w:rsidRPr="00082F98">
        <w:rPr>
          <w:rFonts w:ascii="Times New Roman" w:eastAsia="Times New Roman" w:hAnsi="Times New Roman" w:cs="Times New Roman"/>
          <w:color w:val="000000"/>
          <w:sz w:val="26"/>
          <w:szCs w:val="26"/>
          <w:lang w:val="uk-UA" w:eastAsia="ru-RU"/>
        </w:rPr>
        <w:t>ння таких обов’язків щодо:</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реєстрації в Єдиному реєстрі податкових накладних такими платниками податкових накладних та розрахунків коригування, дата складання яких припадає на період з 01 лютого по 31 травня 2022 року, за умови забезпечення їх реєстрації не п</w:t>
      </w:r>
      <w:r w:rsidRPr="00082F98">
        <w:rPr>
          <w:rFonts w:ascii="Times New Roman" w:eastAsia="Times New Roman" w:hAnsi="Times New Roman" w:cs="Times New Roman"/>
          <w:color w:val="000000"/>
          <w:sz w:val="26"/>
          <w:szCs w:val="26"/>
          <w:lang w:val="uk-UA" w:eastAsia="ru-RU"/>
        </w:rPr>
        <w:t>ізніше 15 липня 2022 року;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реєстрації в Єдиному реєстрі податкових накладних зведених податкових накладних та/або розрахунків коригування до таких зведених податкових накладних, дата складання яких припадає на період з 01 лютого по 31 травня 2022 року, складених за операціями, визначеними п. 198.5 ст. 198 та п. 199.1 ст. 199 ПКУ, за умови забезпечення їх реєстрації не п</w:t>
      </w:r>
      <w:r w:rsidRPr="00082F98">
        <w:rPr>
          <w:rFonts w:ascii="Times New Roman" w:eastAsia="Times New Roman" w:hAnsi="Times New Roman" w:cs="Times New Roman"/>
          <w:color w:val="000000"/>
          <w:sz w:val="26"/>
          <w:szCs w:val="26"/>
          <w:lang w:val="uk-UA" w:eastAsia="ru-RU"/>
        </w:rPr>
        <w:t>ізніше 20 липня 2022 року;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подання звітності, у тому числі передбаченої п. 46.2 ст. 46 ПКУ, за звітні (податкові) періоди – 2021 рік (для звітності, що подається за річний звітний (податковий) період), граничний термін подання якої припадає на період починаючи з 24 лютого 2022 року до 01 червня 2022 року, I квартал 2022 року (для звітності, що подається за квартальний звітний (податковий) період) та звітності за лютий – травень 2022 року (для звітності, що подається за місячний звітний (податковий) період), за умови подання такої звітності до контролюючого органу не п</w:t>
      </w:r>
      <w:r w:rsidRPr="00082F98">
        <w:rPr>
          <w:rFonts w:ascii="Times New Roman" w:eastAsia="Times New Roman" w:hAnsi="Times New Roman" w:cs="Times New Roman"/>
          <w:color w:val="000000"/>
          <w:sz w:val="26"/>
          <w:szCs w:val="26"/>
          <w:lang w:val="uk-UA" w:eastAsia="ru-RU"/>
        </w:rPr>
        <w:t>ізніше 20 липня 2022 року;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строків сплати податків та зборів за звітні (податкові) періоди – 2021 рік (для річного звітного (податкового) періоду), I квартал 2022 року (для квартального звітного (податкового) періоду), січень – травень 2022 року (для місячного звітного (податкового) періоду), за умови їх сплати не пізніше 01 серпня 2022 року (для сплати податку на доходи фізичних осіб та/або військового збору – не піз</w:t>
      </w:r>
      <w:r w:rsidRPr="00082F98">
        <w:rPr>
          <w:rFonts w:ascii="Times New Roman" w:eastAsia="Times New Roman" w:hAnsi="Times New Roman" w:cs="Times New Roman"/>
          <w:color w:val="000000"/>
          <w:sz w:val="26"/>
          <w:szCs w:val="26"/>
          <w:lang w:val="uk-UA" w:eastAsia="ru-RU"/>
        </w:rPr>
        <w:t>ніше 31 грудня 2022 року);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строків сплати грошових зобов’язань, визначених контролюючими органами, граничний строк сплати яких припадає на період починаючи з 24 лютого 2022 року до 01 червня 2022 року, за умови їх сплати не пі</w:t>
      </w:r>
      <w:r w:rsidRPr="00082F98">
        <w:rPr>
          <w:rFonts w:ascii="Times New Roman" w:eastAsia="Times New Roman" w:hAnsi="Times New Roman" w:cs="Times New Roman"/>
          <w:color w:val="000000"/>
          <w:sz w:val="26"/>
          <w:szCs w:val="26"/>
          <w:lang w:val="uk-UA" w:eastAsia="ru-RU"/>
        </w:rPr>
        <w:t>зніше 01 серпня 2022 року.</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У разі звільнення платника податків від відповідальності з підстав, визначених абзацами четвертим – восьмим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XX «Перехідні положення» ПКУ, податкові повідомлення-рішення, якими були визначені йому штрафні (фінансові) санкції та/або пеня за несвоєчасне виконання податкових обов’язків, крім сплати податку на доходи фізичних осіб та/або військового збору, визначених абзацами четвертим – восьмим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XX «Перехідні положення» ПКУ, вважаються скасованими (відкликаними) з дня набрання чинності Законом України від 13 грудня 2022 року № 2836-IX «Про внесення змін до Податкового кодексу України та інших законів України щодо сприяння відновленню енергетичної інфраструктури України».</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За умови сплати не пізніше 31 грудня 2022 року в повному обсязі податку на доходи фізичних осіб та/або військового збору із сум доходів, зазначених у податковій звітності, поданій у строк, визначений абзацом шостим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ml:space="preserve">. XX «Перехідні положення» ПКУ, штрафні санкції та пеня за несплату або несвоєчасну сплату податку на доходи фізичних осіб та/або військового збору із сум таких </w:t>
      </w:r>
      <w:r w:rsidRPr="00082F98">
        <w:rPr>
          <w:rFonts w:ascii="Times New Roman" w:eastAsia="Times New Roman" w:hAnsi="Times New Roman" w:cs="Times New Roman"/>
          <w:color w:val="000000"/>
          <w:sz w:val="26"/>
          <w:szCs w:val="26"/>
          <w:lang w:val="uk-UA" w:eastAsia="ru-RU"/>
        </w:rPr>
        <w:t>доходів не застосовуються.</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Нараховані та сплачені або стягнуті у період з 01 серпня 2022 року до дня набрання чинності Законом України від 03 листопада 2022 року № 2720-IX «Про </w:t>
      </w:r>
      <w:r w:rsidRPr="00D105C4">
        <w:rPr>
          <w:rFonts w:ascii="Times New Roman" w:eastAsia="Times New Roman" w:hAnsi="Times New Roman" w:cs="Times New Roman"/>
          <w:color w:val="000000"/>
          <w:sz w:val="26"/>
          <w:szCs w:val="26"/>
          <w:lang w:val="uk-UA" w:eastAsia="ru-RU"/>
        </w:rPr>
        <w:lastRenderedPageBreak/>
        <w:t xml:space="preserve">внесення змін до Податкового кодексу України та інших законів України щодо особливостей оподаткування діяльності з торгівлі валютними цінностями у готівковій формі» суми штрафних санкцій та пені за несплату або несвоєчасну сплату податку на доходи фізичних осіб та/або військового збору із сум доходів, зазначених у податковій звітності, поданій у строк, визначений абзацом шостим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XX «Перехідні положення» ПКУ, не підлягають поверненню на поточний рахунок платника податків, не спрямовуються на погашення грошового зобов’язання (податкового боргу)</w:t>
      </w:r>
      <w:r w:rsidRPr="00082F98">
        <w:rPr>
          <w:rFonts w:ascii="Times New Roman" w:eastAsia="Times New Roman" w:hAnsi="Times New Roman" w:cs="Times New Roman"/>
          <w:color w:val="000000"/>
          <w:sz w:val="26"/>
          <w:szCs w:val="26"/>
          <w:lang w:val="uk-UA" w:eastAsia="ru-RU"/>
        </w:rPr>
        <w:t xml:space="preserve"> з інших податків, зборів.</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Платники податків, у тому числі щодо своєї філії, представництва, відокремленого чи іншого структурного підрозділу, у яких відновилася можливість виконувати свої податкові обов’язки, граничний термін виконання яких припадає на період починаючи з 24 лютого 2022 року до дня відновлення можливості платника податків, звільняються від відповідальності за несвоєчасне виконання таких обов’язків, передбачених ПКУ, за умови виконання ними таких податкових обов’язків, щодо реєстрації податкових накладних/розрахунків коригування в Єдиному реєстрі податкових накладних, подання звітності, сплати податків і зборів, протягом 60 календарних днів з першого дня місяця, наступного за місяцем відновлення таких можли</w:t>
      </w:r>
      <w:r w:rsidRPr="00082F98">
        <w:rPr>
          <w:rFonts w:ascii="Times New Roman" w:eastAsia="Times New Roman" w:hAnsi="Times New Roman" w:cs="Times New Roman"/>
          <w:color w:val="000000"/>
          <w:sz w:val="26"/>
          <w:szCs w:val="26"/>
          <w:lang w:val="uk-UA" w:eastAsia="ru-RU"/>
        </w:rPr>
        <w:t>востей платників податків.</w:t>
      </w:r>
    </w:p>
    <w:p w:rsidR="00082F98"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 xml:space="preserve">Порядок підтвердження можливості чи неможливості виконання платником податків обов’язків, визначених у </w:t>
      </w:r>
      <w:proofErr w:type="spellStart"/>
      <w:r w:rsidRPr="00D105C4">
        <w:rPr>
          <w:rFonts w:ascii="Times New Roman" w:eastAsia="Times New Roman" w:hAnsi="Times New Roman" w:cs="Times New Roman"/>
          <w:color w:val="000000"/>
          <w:sz w:val="26"/>
          <w:szCs w:val="26"/>
          <w:lang w:val="uk-UA" w:eastAsia="ru-RU"/>
        </w:rPr>
        <w:t>п.п</w:t>
      </w:r>
      <w:proofErr w:type="spellEnd"/>
      <w:r w:rsidRPr="00D105C4">
        <w:rPr>
          <w:rFonts w:ascii="Times New Roman" w:eastAsia="Times New Roman" w:hAnsi="Times New Roman" w:cs="Times New Roman"/>
          <w:color w:val="000000"/>
          <w:sz w:val="26"/>
          <w:szCs w:val="26"/>
          <w:lang w:val="uk-UA" w:eastAsia="ru-RU"/>
        </w:rPr>
        <w:t xml:space="preserve">. 69.1 п. 69 </w:t>
      </w:r>
      <w:proofErr w:type="spellStart"/>
      <w:r w:rsidRPr="00D105C4">
        <w:rPr>
          <w:rFonts w:ascii="Times New Roman" w:eastAsia="Times New Roman" w:hAnsi="Times New Roman" w:cs="Times New Roman"/>
          <w:color w:val="000000"/>
          <w:sz w:val="26"/>
          <w:szCs w:val="26"/>
          <w:lang w:val="uk-UA" w:eastAsia="ru-RU"/>
        </w:rPr>
        <w:t>підрозд</w:t>
      </w:r>
      <w:proofErr w:type="spellEnd"/>
      <w:r w:rsidRPr="00D105C4">
        <w:rPr>
          <w:rFonts w:ascii="Times New Roman" w:eastAsia="Times New Roman" w:hAnsi="Times New Roman" w:cs="Times New Roman"/>
          <w:color w:val="000000"/>
          <w:sz w:val="26"/>
          <w:szCs w:val="26"/>
          <w:lang w:val="uk-UA" w:eastAsia="ru-RU"/>
        </w:rPr>
        <w:t xml:space="preserve">. 10 </w:t>
      </w:r>
      <w:proofErr w:type="spellStart"/>
      <w:r w:rsidRPr="00D105C4">
        <w:rPr>
          <w:rFonts w:ascii="Times New Roman" w:eastAsia="Times New Roman" w:hAnsi="Times New Roman" w:cs="Times New Roman"/>
          <w:color w:val="000000"/>
          <w:sz w:val="26"/>
          <w:szCs w:val="26"/>
          <w:lang w:val="uk-UA" w:eastAsia="ru-RU"/>
        </w:rPr>
        <w:t>розд</w:t>
      </w:r>
      <w:proofErr w:type="spellEnd"/>
      <w:r w:rsidRPr="00D105C4">
        <w:rPr>
          <w:rFonts w:ascii="Times New Roman" w:eastAsia="Times New Roman" w:hAnsi="Times New Roman" w:cs="Times New Roman"/>
          <w:color w:val="000000"/>
          <w:sz w:val="26"/>
          <w:szCs w:val="26"/>
          <w:lang w:val="uk-UA" w:eastAsia="ru-RU"/>
        </w:rPr>
        <w:t>. XX «Перехідні положення» ПКУ, та перелік документів на підтвердження затверджений наказом Міністерства фінансів Укр</w:t>
      </w:r>
      <w:r w:rsidR="00082F98" w:rsidRPr="00082F98">
        <w:rPr>
          <w:rFonts w:ascii="Times New Roman" w:eastAsia="Times New Roman" w:hAnsi="Times New Roman" w:cs="Times New Roman"/>
          <w:color w:val="000000"/>
          <w:sz w:val="26"/>
          <w:szCs w:val="26"/>
          <w:lang w:val="uk-UA" w:eastAsia="ru-RU"/>
        </w:rPr>
        <w:t>аїни від 29.07.2022 № 225.</w:t>
      </w:r>
    </w:p>
    <w:p w:rsidR="00D105C4" w:rsidRPr="00082F98" w:rsidRDefault="00D105C4" w:rsidP="00D105C4">
      <w:pPr>
        <w:shd w:val="clear" w:color="auto" w:fill="FFFFFF"/>
        <w:spacing w:after="0" w:line="240" w:lineRule="auto"/>
        <w:ind w:firstLine="567"/>
        <w:jc w:val="both"/>
        <w:rPr>
          <w:rFonts w:ascii="Times New Roman" w:eastAsia="Times New Roman" w:hAnsi="Times New Roman" w:cs="Times New Roman"/>
          <w:color w:val="000000"/>
          <w:sz w:val="26"/>
          <w:szCs w:val="26"/>
          <w:lang w:val="uk-UA" w:eastAsia="ru-RU"/>
        </w:rPr>
      </w:pPr>
      <w:r w:rsidRPr="00D105C4">
        <w:rPr>
          <w:rFonts w:ascii="Times New Roman" w:eastAsia="Times New Roman" w:hAnsi="Times New Roman" w:cs="Times New Roman"/>
          <w:color w:val="000000"/>
          <w:sz w:val="26"/>
          <w:szCs w:val="26"/>
          <w:lang w:val="uk-UA" w:eastAsia="ru-RU"/>
        </w:rPr>
        <w:t>В зв’язку з дією на території України воєнного стану та з метою уникнення неоднозначного тлумачення норм податкового законодавства кожний конкретний випадок, щодо анулювання реєстрації платника єдиного податку у зв’язку з виникненням боргу слід розглядати з урахуванням документів.</w:t>
      </w:r>
    </w:p>
    <w:p w:rsidR="0006518D" w:rsidRDefault="0006518D" w:rsidP="00082F98">
      <w:pPr>
        <w:ind w:firstLine="567"/>
        <w:rPr>
          <w:rFonts w:ascii="Times New Roman" w:hAnsi="Times New Roman" w:cs="Times New Roman"/>
          <w:sz w:val="26"/>
          <w:szCs w:val="26"/>
          <w:shd w:val="clear" w:color="auto" w:fill="FFFFFF"/>
          <w:lang w:val="en-US"/>
        </w:rPr>
      </w:pPr>
    </w:p>
    <w:p w:rsidR="00082F98" w:rsidRPr="00082F98" w:rsidRDefault="00082F98" w:rsidP="00082F98">
      <w:pPr>
        <w:ind w:firstLine="567"/>
        <w:rPr>
          <w:rFonts w:ascii="Times New Roman" w:hAnsi="Times New Roman" w:cs="Times New Roman"/>
          <w:sz w:val="26"/>
          <w:szCs w:val="26"/>
        </w:rPr>
      </w:pPr>
      <w:r w:rsidRPr="00082F98">
        <w:rPr>
          <w:rFonts w:ascii="Times New Roman" w:hAnsi="Times New Roman" w:cs="Times New Roman"/>
          <w:sz w:val="26"/>
          <w:szCs w:val="26"/>
          <w:shd w:val="clear" w:color="auto" w:fill="FFFFFF"/>
        </w:rPr>
        <w:t xml:space="preserve">За </w:t>
      </w:r>
      <w:proofErr w:type="spellStart"/>
      <w:r w:rsidRPr="00082F98">
        <w:rPr>
          <w:rFonts w:ascii="Times New Roman" w:hAnsi="Times New Roman" w:cs="Times New Roman"/>
          <w:sz w:val="26"/>
          <w:szCs w:val="26"/>
          <w:shd w:val="clear" w:color="auto" w:fill="FFFFFF"/>
        </w:rPr>
        <w:t>інформацією</w:t>
      </w:r>
      <w:proofErr w:type="spellEnd"/>
      <w:r w:rsidRPr="00082F98">
        <w:rPr>
          <w:rFonts w:ascii="Times New Roman" w:hAnsi="Times New Roman" w:cs="Times New Roman"/>
          <w:sz w:val="26"/>
          <w:szCs w:val="26"/>
          <w:shd w:val="clear" w:color="auto" w:fill="FFFFFF"/>
        </w:rPr>
        <w:t xml:space="preserve"> </w:t>
      </w:r>
      <w:proofErr w:type="spellStart"/>
      <w:r w:rsidRPr="00082F98">
        <w:rPr>
          <w:rFonts w:ascii="Times New Roman" w:hAnsi="Times New Roman" w:cs="Times New Roman"/>
          <w:sz w:val="26"/>
          <w:szCs w:val="26"/>
          <w:shd w:val="clear" w:color="auto" w:fill="FFFFFF"/>
        </w:rPr>
        <w:t>загальнодоступного</w:t>
      </w:r>
      <w:proofErr w:type="spellEnd"/>
      <w:r w:rsidRPr="00082F98">
        <w:rPr>
          <w:rFonts w:ascii="Times New Roman" w:hAnsi="Times New Roman" w:cs="Times New Roman"/>
          <w:sz w:val="26"/>
          <w:szCs w:val="26"/>
          <w:shd w:val="clear" w:color="auto" w:fill="FFFFFF"/>
        </w:rPr>
        <w:t xml:space="preserve"> </w:t>
      </w:r>
      <w:proofErr w:type="spellStart"/>
      <w:r w:rsidRPr="00082F98">
        <w:rPr>
          <w:rFonts w:ascii="Times New Roman" w:hAnsi="Times New Roman" w:cs="Times New Roman"/>
          <w:sz w:val="26"/>
          <w:szCs w:val="26"/>
          <w:shd w:val="clear" w:color="auto" w:fill="FFFFFF"/>
        </w:rPr>
        <w:t>інформаційно-довідкового</w:t>
      </w:r>
      <w:proofErr w:type="spellEnd"/>
      <w:r w:rsidRPr="00082F98">
        <w:rPr>
          <w:rFonts w:ascii="Times New Roman" w:hAnsi="Times New Roman" w:cs="Times New Roman"/>
          <w:sz w:val="26"/>
          <w:szCs w:val="26"/>
          <w:shd w:val="clear" w:color="auto" w:fill="FFFFFF"/>
        </w:rPr>
        <w:t xml:space="preserve"> ресурсу.</w:t>
      </w:r>
    </w:p>
    <w:p w:rsidR="00082F98" w:rsidRPr="007E7229" w:rsidRDefault="00082F98" w:rsidP="00082F98">
      <w:pPr>
        <w:rPr>
          <w:rStyle w:val="z-label"/>
          <w:rFonts w:ascii="Times New Roman" w:hAnsi="Times New Roman" w:cs="Times New Roman"/>
          <w:sz w:val="28"/>
          <w:szCs w:val="28"/>
        </w:rPr>
      </w:pPr>
    </w:p>
    <w:p w:rsidR="00082F98" w:rsidRDefault="00082F98"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6518D" w:rsidRPr="0006518D" w:rsidRDefault="0006518D" w:rsidP="00082F98">
      <w:pPr>
        <w:tabs>
          <w:tab w:val="num" w:pos="567"/>
        </w:tabs>
        <w:spacing w:after="0" w:line="240" w:lineRule="auto"/>
        <w:jc w:val="both"/>
        <w:rPr>
          <w:rFonts w:ascii="Times New Roman" w:eastAsia="Times New Roman" w:hAnsi="Times New Roman" w:cs="Times New Roman"/>
          <w:sz w:val="28"/>
          <w:szCs w:val="28"/>
          <w:lang w:val="en-US" w:eastAsia="ru-RU"/>
        </w:rPr>
      </w:pPr>
    </w:p>
    <w:p w:rsidR="00082F98" w:rsidRPr="007E7229" w:rsidRDefault="00082F98" w:rsidP="00082F98">
      <w:pPr>
        <w:spacing w:after="0" w:line="240" w:lineRule="auto"/>
        <w:rPr>
          <w:rFonts w:ascii="Times New Roman" w:hAnsi="Times New Roman" w:cs="Times New Roman"/>
          <w:sz w:val="28"/>
          <w:szCs w:val="28"/>
        </w:rPr>
      </w:pPr>
    </w:p>
    <w:p w:rsidR="00082F98" w:rsidRPr="00D92C16" w:rsidRDefault="00082F98" w:rsidP="00082F98">
      <w:pPr>
        <w:spacing w:after="0" w:line="240" w:lineRule="auto"/>
        <w:rPr>
          <w:rFonts w:ascii="Times New Roman" w:hAnsi="Times New Roman" w:cs="Times New Roman"/>
          <w:sz w:val="28"/>
          <w:szCs w:val="28"/>
        </w:rPr>
      </w:pPr>
    </w:p>
    <w:p w:rsidR="00082F98" w:rsidRPr="0006518D" w:rsidRDefault="00082F98" w:rsidP="00082F98">
      <w:pPr>
        <w:spacing w:after="0" w:line="240" w:lineRule="auto"/>
        <w:jc w:val="both"/>
        <w:rPr>
          <w:rFonts w:ascii="Times New Roman" w:hAnsi="Times New Roman" w:cs="Times New Roman"/>
          <w:sz w:val="20"/>
          <w:szCs w:val="20"/>
          <w:lang w:val="en-US"/>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Хрещатик</w:t>
      </w:r>
      <w:proofErr w:type="spellEnd"/>
      <w:r w:rsidRPr="0006518D">
        <w:rPr>
          <w:rFonts w:ascii="Times New Roman" w:hAnsi="Times New Roman" w:cs="Times New Roman"/>
          <w:sz w:val="20"/>
          <w:szCs w:val="20"/>
          <w:lang w:val="en-US"/>
        </w:rPr>
        <w:t xml:space="preserve">,235                                           </w:t>
      </w:r>
      <w:r w:rsidRPr="00EA716F">
        <w:rPr>
          <w:rFonts w:ascii="Times New Roman" w:hAnsi="Times New Roman" w:cs="Times New Roman"/>
          <w:sz w:val="20"/>
          <w:szCs w:val="20"/>
          <w:lang w:val="en-US"/>
        </w:rPr>
        <w:t>e</w:t>
      </w:r>
      <w:r w:rsidRPr="0006518D">
        <w:rPr>
          <w:rFonts w:ascii="Times New Roman" w:hAnsi="Times New Roman" w:cs="Times New Roman"/>
          <w:sz w:val="20"/>
          <w:szCs w:val="20"/>
          <w:lang w:val="en-US"/>
        </w:rPr>
        <w:t>-</w:t>
      </w:r>
      <w:r w:rsidRPr="00EA716F">
        <w:rPr>
          <w:rFonts w:ascii="Times New Roman" w:hAnsi="Times New Roman" w:cs="Times New Roman"/>
          <w:sz w:val="20"/>
          <w:szCs w:val="20"/>
          <w:lang w:val="en-US"/>
        </w:rPr>
        <w:t>mail</w:t>
      </w:r>
      <w:r w:rsidRPr="0006518D">
        <w:rPr>
          <w:rFonts w:ascii="Times New Roman" w:hAnsi="Times New Roman" w:cs="Times New Roman"/>
          <w:sz w:val="20"/>
          <w:szCs w:val="20"/>
          <w:lang w:val="en-US"/>
        </w:rPr>
        <w:t xml:space="preserve">: </w:t>
      </w:r>
      <w:hyperlink r:id="rId5" w:history="1">
        <w:r w:rsidRPr="00EA716F">
          <w:rPr>
            <w:rStyle w:val="a4"/>
            <w:rFonts w:ascii="Times New Roman" w:hAnsi="Times New Roman" w:cs="Times New Roman"/>
            <w:sz w:val="20"/>
            <w:szCs w:val="20"/>
            <w:lang w:val="en-US"/>
          </w:rPr>
          <w:t>ck</w:t>
        </w:r>
        <w:r w:rsidRPr="0006518D">
          <w:rPr>
            <w:rStyle w:val="a4"/>
            <w:rFonts w:ascii="Times New Roman" w:hAnsi="Times New Roman" w:cs="Times New Roman"/>
            <w:sz w:val="20"/>
            <w:szCs w:val="20"/>
            <w:lang w:val="en-US"/>
          </w:rPr>
          <w:t>.</w:t>
        </w:r>
        <w:r w:rsidRPr="00EA716F">
          <w:rPr>
            <w:rStyle w:val="a4"/>
            <w:rFonts w:ascii="Times New Roman" w:hAnsi="Times New Roman" w:cs="Times New Roman"/>
            <w:sz w:val="20"/>
            <w:szCs w:val="20"/>
            <w:lang w:val="en-US"/>
          </w:rPr>
          <w:t>zmi</w:t>
        </w:r>
        <w:r w:rsidRPr="0006518D">
          <w:rPr>
            <w:rStyle w:val="a4"/>
            <w:rFonts w:ascii="Times New Roman" w:hAnsi="Times New Roman" w:cs="Times New Roman"/>
            <w:sz w:val="20"/>
            <w:szCs w:val="20"/>
            <w:lang w:val="en-US"/>
          </w:rPr>
          <w:t>@</w:t>
        </w:r>
        <w:r w:rsidRPr="00EA716F">
          <w:rPr>
            <w:rStyle w:val="a4"/>
            <w:rFonts w:ascii="Times New Roman" w:hAnsi="Times New Roman" w:cs="Times New Roman"/>
            <w:sz w:val="20"/>
            <w:szCs w:val="20"/>
            <w:lang w:val="en-US"/>
          </w:rPr>
          <w:t>tax</w:t>
        </w:r>
        <w:r w:rsidRPr="0006518D">
          <w:rPr>
            <w:rStyle w:val="a4"/>
            <w:rFonts w:ascii="Times New Roman" w:hAnsi="Times New Roman" w:cs="Times New Roman"/>
            <w:sz w:val="20"/>
            <w:szCs w:val="20"/>
            <w:lang w:val="en-US"/>
          </w:rPr>
          <w:t>.</w:t>
        </w:r>
        <w:r w:rsidRPr="00EA716F">
          <w:rPr>
            <w:rStyle w:val="a4"/>
            <w:rFonts w:ascii="Times New Roman" w:hAnsi="Times New Roman" w:cs="Times New Roman"/>
            <w:sz w:val="20"/>
            <w:szCs w:val="20"/>
            <w:lang w:val="en-US"/>
          </w:rPr>
          <w:t>gov</w:t>
        </w:r>
        <w:r w:rsidRPr="0006518D">
          <w:rPr>
            <w:rStyle w:val="a4"/>
            <w:rFonts w:ascii="Times New Roman" w:hAnsi="Times New Roman" w:cs="Times New Roman"/>
            <w:sz w:val="20"/>
            <w:szCs w:val="20"/>
            <w:lang w:val="en-US"/>
          </w:rPr>
          <w:t>.</w:t>
        </w:r>
        <w:r w:rsidRPr="00EA716F">
          <w:rPr>
            <w:rStyle w:val="a4"/>
            <w:rFonts w:ascii="Times New Roman" w:hAnsi="Times New Roman" w:cs="Times New Roman"/>
            <w:sz w:val="20"/>
            <w:szCs w:val="20"/>
            <w:lang w:val="en-US"/>
          </w:rPr>
          <w:t>ua</w:t>
        </w:r>
      </w:hyperlink>
    </w:p>
    <w:p w:rsidR="00D105C4" w:rsidRPr="00D105C4" w:rsidRDefault="00082F98" w:rsidP="0006518D">
      <w:pPr>
        <w:spacing w:after="0" w:line="240" w:lineRule="auto"/>
        <w:jc w:val="both"/>
        <w:rPr>
          <w:lang w:val="uk-UA"/>
        </w:rPr>
      </w:pPr>
      <w:r w:rsidRPr="00EA716F">
        <w:rPr>
          <w:rFonts w:ascii="Times New Roman" w:hAnsi="Times New Roman" w:cs="Times New Roman"/>
          <w:sz w:val="20"/>
          <w:szCs w:val="20"/>
        </w:rPr>
        <w:t xml:space="preserve">тел.(0472) 33-91-34                                                                           </w:t>
      </w:r>
      <w:hyperlink r:id="rId6" w:history="1">
        <w:r w:rsidRPr="00EA716F">
          <w:rPr>
            <w:rStyle w:val="a4"/>
            <w:rFonts w:ascii="Times New Roman" w:hAnsi="Times New Roman" w:cs="Times New Roman"/>
            <w:sz w:val="20"/>
            <w:szCs w:val="20"/>
          </w:rPr>
          <w:t>https://ck.tax.gov.ua/</w:t>
        </w:r>
      </w:hyperlink>
    </w:p>
    <w:sectPr w:rsidR="00D105C4" w:rsidRPr="00D105C4"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105C4"/>
    <w:rsid w:val="00062B3E"/>
    <w:rsid w:val="0006518D"/>
    <w:rsid w:val="00082F98"/>
    <w:rsid w:val="004A64BE"/>
    <w:rsid w:val="00751448"/>
    <w:rsid w:val="00D105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B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D105C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105C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105C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105C4"/>
    <w:rPr>
      <w:rFonts w:ascii="Arial" w:eastAsia="Times New Roman" w:hAnsi="Arial" w:cs="Arial"/>
      <w:vanish/>
      <w:sz w:val="16"/>
      <w:szCs w:val="16"/>
      <w:lang w:eastAsia="ru-RU"/>
    </w:rPr>
  </w:style>
  <w:style w:type="paragraph" w:styleId="a3">
    <w:name w:val="Normal (Web)"/>
    <w:basedOn w:val="a"/>
    <w:uiPriority w:val="99"/>
    <w:semiHidden/>
    <w:unhideWhenUsed/>
    <w:rsid w:val="00D105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105C4"/>
    <w:rPr>
      <w:color w:val="0000FF"/>
      <w:u w:val="single"/>
    </w:rPr>
  </w:style>
  <w:style w:type="paragraph" w:styleId="a5">
    <w:name w:val="Balloon Text"/>
    <w:basedOn w:val="a"/>
    <w:link w:val="a6"/>
    <w:uiPriority w:val="99"/>
    <w:semiHidden/>
    <w:unhideWhenUsed/>
    <w:rsid w:val="00D105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05C4"/>
    <w:rPr>
      <w:rFonts w:ascii="Tahoma" w:hAnsi="Tahoma" w:cs="Tahoma"/>
      <w:sz w:val="16"/>
      <w:szCs w:val="16"/>
    </w:rPr>
  </w:style>
  <w:style w:type="character" w:customStyle="1" w:styleId="z-label">
    <w:name w:val="z-label"/>
    <w:basedOn w:val="a0"/>
    <w:rsid w:val="00082F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D105C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105C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105C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105C4"/>
    <w:rPr>
      <w:rFonts w:ascii="Arial" w:eastAsia="Times New Roman" w:hAnsi="Arial" w:cs="Arial"/>
      <w:vanish/>
      <w:sz w:val="16"/>
      <w:szCs w:val="16"/>
      <w:lang w:eastAsia="ru-RU"/>
    </w:rPr>
  </w:style>
  <w:style w:type="paragraph" w:styleId="a3">
    <w:name w:val="Normal (Web)"/>
    <w:basedOn w:val="a"/>
    <w:uiPriority w:val="99"/>
    <w:semiHidden/>
    <w:unhideWhenUsed/>
    <w:rsid w:val="00D105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105C4"/>
    <w:rPr>
      <w:color w:val="0000FF"/>
      <w:u w:val="single"/>
    </w:rPr>
  </w:style>
  <w:style w:type="paragraph" w:styleId="a5">
    <w:name w:val="Balloon Text"/>
    <w:basedOn w:val="a"/>
    <w:link w:val="a6"/>
    <w:uiPriority w:val="99"/>
    <w:semiHidden/>
    <w:unhideWhenUsed/>
    <w:rsid w:val="00D105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05C4"/>
    <w:rPr>
      <w:rFonts w:ascii="Tahoma" w:hAnsi="Tahoma" w:cs="Tahoma"/>
      <w:sz w:val="16"/>
      <w:szCs w:val="16"/>
    </w:rPr>
  </w:style>
  <w:style w:type="character" w:customStyle="1" w:styleId="z-label">
    <w:name w:val="z-label"/>
    <w:basedOn w:val="a0"/>
    <w:rsid w:val="00082F98"/>
  </w:style>
</w:styles>
</file>

<file path=word/webSettings.xml><?xml version="1.0" encoding="utf-8"?>
<w:webSettings xmlns:r="http://schemas.openxmlformats.org/officeDocument/2006/relationships" xmlns:w="http://schemas.openxmlformats.org/wordprocessingml/2006/main">
  <w:divs>
    <w:div w:id="943147068">
      <w:bodyDiv w:val="1"/>
      <w:marLeft w:val="0"/>
      <w:marRight w:val="0"/>
      <w:marTop w:val="0"/>
      <w:marBottom w:val="0"/>
      <w:divBdr>
        <w:top w:val="none" w:sz="0" w:space="0" w:color="auto"/>
        <w:left w:val="none" w:sz="0" w:space="0" w:color="auto"/>
        <w:bottom w:val="none" w:sz="0" w:space="0" w:color="auto"/>
        <w:right w:val="none" w:sz="0" w:space="0" w:color="auto"/>
      </w:divBdr>
      <w:divsChild>
        <w:div w:id="2031028792">
          <w:marLeft w:val="0"/>
          <w:marRight w:val="0"/>
          <w:marTop w:val="0"/>
          <w:marBottom w:val="0"/>
          <w:divBdr>
            <w:top w:val="single" w:sz="6" w:space="0" w:color="auto"/>
            <w:left w:val="none" w:sz="0" w:space="0" w:color="auto"/>
            <w:bottom w:val="none" w:sz="0" w:space="0" w:color="auto"/>
            <w:right w:val="none" w:sz="0" w:space="0" w:color="auto"/>
          </w:divBdr>
          <w:divsChild>
            <w:div w:id="966161923">
              <w:marLeft w:val="0"/>
              <w:marRight w:val="0"/>
              <w:marTop w:val="0"/>
              <w:marBottom w:val="0"/>
              <w:divBdr>
                <w:top w:val="none" w:sz="0" w:space="0" w:color="auto"/>
                <w:left w:val="none" w:sz="0" w:space="0" w:color="auto"/>
                <w:bottom w:val="none" w:sz="0" w:space="0" w:color="auto"/>
                <w:right w:val="none" w:sz="0" w:space="0" w:color="auto"/>
              </w:divBdr>
            </w:div>
          </w:divsChild>
        </w:div>
        <w:div w:id="606036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1294</Words>
  <Characters>7378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2</cp:revision>
  <dcterms:created xsi:type="dcterms:W3CDTF">2023-01-19T11:49:00Z</dcterms:created>
  <dcterms:modified xsi:type="dcterms:W3CDTF">2023-01-25T07:01:00Z</dcterms:modified>
</cp:coreProperties>
</file>